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F9" w:rsidRPr="0055746D" w:rsidRDefault="003C7DF9" w:rsidP="00184A28">
      <w:pPr>
        <w:spacing w:after="0" w:line="240" w:lineRule="auto"/>
        <w:jc w:val="center"/>
        <w:rPr>
          <w:b/>
          <w:bCs/>
          <w:sz w:val="14"/>
        </w:rPr>
      </w:pPr>
      <w:r w:rsidRPr="00607E6B">
        <w:rPr>
          <w:b/>
          <w:bCs/>
          <w:color w:val="0000FF"/>
          <w:sz w:val="28"/>
        </w:rPr>
        <w:t>C</w:t>
      </w:r>
      <w:r w:rsidR="009F71E5" w:rsidRPr="00607E6B">
        <w:rPr>
          <w:b/>
          <w:bCs/>
          <w:color w:val="0000FF"/>
          <w:sz w:val="28"/>
        </w:rPr>
        <w:t>CH Facts &amp; Figures</w:t>
      </w:r>
      <w:r w:rsidRPr="00607E6B">
        <w:rPr>
          <w:b/>
          <w:bCs/>
          <w:color w:val="0000FF"/>
          <w:sz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8095"/>
      </w:tblGrid>
      <w:tr w:rsidR="002C068F" w:rsidRPr="009F71E5" w:rsidTr="002C068F">
        <w:trPr>
          <w:jc w:val="center"/>
        </w:trPr>
        <w:tc>
          <w:tcPr>
            <w:tcW w:w="10790" w:type="dxa"/>
            <w:gridSpan w:val="2"/>
          </w:tcPr>
          <w:p w:rsidR="002C068F" w:rsidRPr="00607E6B" w:rsidRDefault="00712D71" w:rsidP="003C7DF9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Enrollment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2C068F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All Male</w:t>
            </w:r>
          </w:p>
        </w:tc>
        <w:tc>
          <w:tcPr>
            <w:tcW w:w="8095" w:type="dxa"/>
          </w:tcPr>
          <w:p w:rsidR="002C068F" w:rsidRPr="002C068F" w:rsidRDefault="002C068F" w:rsidP="003C7DF9">
            <w:pPr>
              <w:rPr>
                <w:bCs/>
              </w:rPr>
            </w:pPr>
            <w:r>
              <w:t>The</w:t>
            </w:r>
            <w:r w:rsidRPr="003C7DF9">
              <w:t xml:space="preserve"> only all-male high school in Northern Kentucky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2C068F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Total Students</w:t>
            </w:r>
          </w:p>
        </w:tc>
        <w:tc>
          <w:tcPr>
            <w:tcW w:w="8095" w:type="dxa"/>
          </w:tcPr>
          <w:p w:rsidR="002C068F" w:rsidRPr="002C068F" w:rsidRDefault="00BE6BA6" w:rsidP="00293755">
            <w:pPr>
              <w:rPr>
                <w:bCs/>
              </w:rPr>
            </w:pPr>
            <w:r>
              <w:rPr>
                <w:bCs/>
              </w:rPr>
              <w:t>5</w:t>
            </w:r>
            <w:r w:rsidR="00293755">
              <w:rPr>
                <w:bCs/>
              </w:rPr>
              <w:t>86</w:t>
            </w:r>
            <w:r w:rsidR="002C068F">
              <w:rPr>
                <w:bCs/>
              </w:rPr>
              <w:t xml:space="preserve"> (</w:t>
            </w:r>
            <w:r w:rsidR="007812BB">
              <w:rPr>
                <w:bCs/>
              </w:rPr>
              <w:t>201</w:t>
            </w:r>
            <w:r w:rsidR="00293755">
              <w:rPr>
                <w:bCs/>
              </w:rPr>
              <w:t>8-19</w:t>
            </w:r>
            <w:r w:rsidR="002C068F">
              <w:rPr>
                <w:bCs/>
              </w:rPr>
              <w:t xml:space="preserve"> School Year</w:t>
            </w:r>
            <w:r w:rsidR="0055746D">
              <w:rPr>
                <w:bCs/>
              </w:rPr>
              <w:t>; up &gt;20% since 2010-11</w:t>
            </w:r>
            <w:r w:rsidR="002C068F">
              <w:rPr>
                <w:bCs/>
              </w:rPr>
              <w:t>)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2C068F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Relative Size</w:t>
            </w:r>
          </w:p>
        </w:tc>
        <w:tc>
          <w:tcPr>
            <w:tcW w:w="8095" w:type="dxa"/>
          </w:tcPr>
          <w:p w:rsidR="002C068F" w:rsidRPr="00BE6BA6" w:rsidRDefault="002C068F" w:rsidP="0036482D">
            <w:pPr>
              <w:rPr>
                <w:bCs/>
              </w:rPr>
            </w:pPr>
            <w:r w:rsidRPr="00BE6BA6">
              <w:rPr>
                <w:bCs/>
              </w:rPr>
              <w:t xml:space="preserve">Approximately </w:t>
            </w:r>
            <w:r w:rsidR="0036482D" w:rsidRPr="00BE6BA6">
              <w:rPr>
                <w:bCs/>
              </w:rPr>
              <w:t>1/3 – 2/3</w:t>
            </w:r>
            <w:r w:rsidRPr="00BE6BA6">
              <w:rPr>
                <w:bCs/>
              </w:rPr>
              <w:t xml:space="preserve"> the size of the all-male high schools in Cincinnati</w:t>
            </w:r>
            <w:r w:rsidR="007B17FA" w:rsidRPr="00BE6BA6">
              <w:rPr>
                <w:bCs/>
              </w:rPr>
              <w:t>.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334806" w:rsidRPr="005906A1" w:rsidRDefault="00312D66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 xml:space="preserve">Student Background </w:t>
            </w:r>
          </w:p>
          <w:p w:rsidR="002C068F" w:rsidRPr="005906A1" w:rsidRDefault="00312D66" w:rsidP="00680D68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(</w:t>
            </w:r>
            <w:r w:rsidR="00E10501">
              <w:rPr>
                <w:b/>
                <w:bCs/>
              </w:rPr>
              <w:t>201</w:t>
            </w:r>
            <w:r w:rsidR="000D1824">
              <w:rPr>
                <w:b/>
                <w:bCs/>
              </w:rPr>
              <w:t>8</w:t>
            </w:r>
            <w:r w:rsidR="00E10501">
              <w:rPr>
                <w:b/>
                <w:bCs/>
              </w:rPr>
              <w:t>-1</w:t>
            </w:r>
            <w:r w:rsidR="000D1824">
              <w:rPr>
                <w:b/>
                <w:bCs/>
              </w:rPr>
              <w:t>9</w:t>
            </w:r>
            <w:r w:rsidRPr="005906A1">
              <w:rPr>
                <w:b/>
                <w:bCs/>
              </w:rPr>
              <w:t xml:space="preserve"> Enrollment)</w:t>
            </w:r>
          </w:p>
        </w:tc>
        <w:tc>
          <w:tcPr>
            <w:tcW w:w="8095" w:type="dxa"/>
          </w:tcPr>
          <w:p w:rsidR="002C068F" w:rsidRDefault="004A5442" w:rsidP="003C7DF9">
            <w:pPr>
              <w:rPr>
                <w:bCs/>
              </w:rPr>
            </w:pPr>
            <w:r>
              <w:rPr>
                <w:bCs/>
              </w:rPr>
              <w:t xml:space="preserve">~45 </w:t>
            </w:r>
            <w:r w:rsidR="00312D66">
              <w:rPr>
                <w:bCs/>
              </w:rPr>
              <w:t xml:space="preserve">different schools </w:t>
            </w:r>
            <w:r>
              <w:rPr>
                <w:bCs/>
              </w:rPr>
              <w:t xml:space="preserve">and &gt;30 zip codes </w:t>
            </w:r>
            <w:r w:rsidR="00312D66">
              <w:rPr>
                <w:bCs/>
              </w:rPr>
              <w:t>represented</w:t>
            </w:r>
            <w:r w:rsidR="007B17FA">
              <w:rPr>
                <w:bCs/>
              </w:rPr>
              <w:t>.</w:t>
            </w:r>
          </w:p>
          <w:p w:rsidR="00312D66" w:rsidRPr="002C068F" w:rsidRDefault="00312D66" w:rsidP="003C7DF9">
            <w:pPr>
              <w:rPr>
                <w:bCs/>
              </w:rPr>
            </w:pPr>
            <w:r w:rsidRPr="00BE6BA6">
              <w:rPr>
                <w:bCs/>
              </w:rPr>
              <w:t>&gt;95%</w:t>
            </w:r>
            <w:r>
              <w:rPr>
                <w:bCs/>
              </w:rPr>
              <w:t xml:space="preserve"> are Catholic</w:t>
            </w:r>
            <w:r w:rsidR="007B17FA">
              <w:rPr>
                <w:bCs/>
              </w:rPr>
              <w:t>.</w:t>
            </w:r>
          </w:p>
        </w:tc>
      </w:tr>
      <w:tr w:rsidR="00312D66" w:rsidRPr="009F71E5" w:rsidTr="00C85DAA">
        <w:trPr>
          <w:jc w:val="center"/>
        </w:trPr>
        <w:tc>
          <w:tcPr>
            <w:tcW w:w="10790" w:type="dxa"/>
            <w:gridSpan w:val="2"/>
          </w:tcPr>
          <w:p w:rsidR="00312D66" w:rsidRPr="00607E6B" w:rsidRDefault="00C755A8" w:rsidP="00C85DAA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History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5906A1" w:rsidP="00C94D4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 xml:space="preserve">2025 = 100 </w:t>
            </w:r>
            <w:proofErr w:type="spellStart"/>
            <w:r w:rsidR="00C94D49">
              <w:rPr>
                <w:b/>
                <w:bCs/>
              </w:rPr>
              <w:t>Yr</w:t>
            </w:r>
            <w:proofErr w:type="spellEnd"/>
            <w:r w:rsidRPr="005906A1">
              <w:rPr>
                <w:b/>
                <w:bCs/>
              </w:rPr>
              <w:t xml:space="preserve"> Anniversary</w:t>
            </w:r>
          </w:p>
        </w:tc>
        <w:tc>
          <w:tcPr>
            <w:tcW w:w="8095" w:type="dxa"/>
          </w:tcPr>
          <w:p w:rsidR="002C068F" w:rsidRPr="002C068F" w:rsidRDefault="00334806" w:rsidP="003C7DF9">
            <w:pPr>
              <w:rPr>
                <w:bCs/>
              </w:rPr>
            </w:pPr>
            <w:r w:rsidRPr="003C7DF9">
              <w:t>Covington Catholic was founded in 1925</w:t>
            </w:r>
            <w:r w:rsidR="007B17FA">
              <w:t>.</w:t>
            </w:r>
          </w:p>
        </w:tc>
      </w:tr>
      <w:tr w:rsidR="00334806" w:rsidTr="00C94D49">
        <w:trPr>
          <w:jc w:val="center"/>
        </w:trPr>
        <w:tc>
          <w:tcPr>
            <w:tcW w:w="2695" w:type="dxa"/>
            <w:vAlign w:val="center"/>
          </w:tcPr>
          <w:p w:rsidR="00334806" w:rsidRPr="005906A1" w:rsidRDefault="00334806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Alumni</w:t>
            </w:r>
          </w:p>
        </w:tc>
        <w:tc>
          <w:tcPr>
            <w:tcW w:w="8095" w:type="dxa"/>
          </w:tcPr>
          <w:p w:rsidR="00334806" w:rsidRPr="003C7DF9" w:rsidRDefault="00334806" w:rsidP="003C7DF9">
            <w:r>
              <w:t>Over 8,500 Alumni</w:t>
            </w:r>
            <w:r w:rsidR="007B17FA">
              <w:t>.</w:t>
            </w:r>
          </w:p>
        </w:tc>
      </w:tr>
      <w:tr w:rsidR="009A40F5" w:rsidTr="00C94D49">
        <w:trPr>
          <w:jc w:val="center"/>
        </w:trPr>
        <w:tc>
          <w:tcPr>
            <w:tcW w:w="2695" w:type="dxa"/>
            <w:vAlign w:val="center"/>
          </w:tcPr>
          <w:p w:rsidR="009A40F5" w:rsidRPr="005906A1" w:rsidRDefault="009A40F5" w:rsidP="009A40F5">
            <w:pPr>
              <w:rPr>
                <w:b/>
                <w:bCs/>
              </w:rPr>
            </w:pPr>
            <w:r>
              <w:rPr>
                <w:b/>
                <w:bCs/>
              </w:rPr>
              <w:t>Awards &amp; Accreditations</w:t>
            </w:r>
          </w:p>
        </w:tc>
        <w:tc>
          <w:tcPr>
            <w:tcW w:w="8095" w:type="dxa"/>
          </w:tcPr>
          <w:p w:rsidR="00733C10" w:rsidRDefault="009A40F5" w:rsidP="00C97FAD">
            <w:r>
              <w:t>National Blue Ribbon School (</w:t>
            </w:r>
            <w:r w:rsidR="00733C10">
              <w:t xml:space="preserve">2016 &amp; </w:t>
            </w:r>
            <w:r w:rsidR="00E77C5C">
              <w:t>2007)</w:t>
            </w:r>
            <w:r w:rsidR="00733C10">
              <w:t>; 1 of 2 KY high schools in 2016</w:t>
            </w:r>
          </w:p>
          <w:p w:rsidR="009A40F5" w:rsidRDefault="00C97FAD" w:rsidP="00C97FAD">
            <w:r>
              <w:t xml:space="preserve">National Council of Private Schools; </w:t>
            </w:r>
            <w:r w:rsidR="009A40F5">
              <w:t>SACS (Southern Association of Colleges and Schools)</w:t>
            </w:r>
          </w:p>
        </w:tc>
      </w:tr>
      <w:tr w:rsidR="00C755A8" w:rsidRPr="009F71E5" w:rsidTr="00C85DAA">
        <w:trPr>
          <w:jc w:val="center"/>
        </w:trPr>
        <w:tc>
          <w:tcPr>
            <w:tcW w:w="10790" w:type="dxa"/>
            <w:gridSpan w:val="2"/>
          </w:tcPr>
          <w:p w:rsidR="00C755A8" w:rsidRPr="00607E6B" w:rsidRDefault="00C755A8" w:rsidP="00C85DAA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Spiritual &amp; Service</w:t>
            </w:r>
          </w:p>
        </w:tc>
      </w:tr>
      <w:tr w:rsidR="00FF7F11" w:rsidTr="00C94D49">
        <w:trPr>
          <w:jc w:val="center"/>
        </w:trPr>
        <w:tc>
          <w:tcPr>
            <w:tcW w:w="2695" w:type="dxa"/>
            <w:vAlign w:val="center"/>
          </w:tcPr>
          <w:p w:rsidR="00FF7F11" w:rsidRPr="00DD0A5F" w:rsidRDefault="00271AB4" w:rsidP="00FF7F11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Mass</w:t>
            </w:r>
          </w:p>
        </w:tc>
        <w:tc>
          <w:tcPr>
            <w:tcW w:w="8095" w:type="dxa"/>
          </w:tcPr>
          <w:p w:rsidR="00FF7F11" w:rsidRPr="00F63520" w:rsidRDefault="002F6CA2" w:rsidP="004A5442">
            <w:pPr>
              <w:ind w:left="-18"/>
            </w:pPr>
            <w:r>
              <w:t>Weekly Mass and adoration</w:t>
            </w:r>
            <w:r w:rsidR="00FF7F11" w:rsidRPr="00F63520">
              <w:t xml:space="preserve">, </w:t>
            </w:r>
            <w:r>
              <w:t>semi-weekly</w:t>
            </w:r>
            <w:r w:rsidR="00C97FAD">
              <w:t xml:space="preserve"> </w:t>
            </w:r>
            <w:r w:rsidR="00FF7F11" w:rsidRPr="00F63520">
              <w:t>rosary services</w:t>
            </w:r>
            <w:r w:rsidR="00642587">
              <w:t xml:space="preserve">, </w:t>
            </w:r>
            <w:r w:rsidR="00FF7F11" w:rsidRPr="00F63520">
              <w:t xml:space="preserve">and </w:t>
            </w:r>
            <w:r w:rsidR="00DC5BCA">
              <w:t xml:space="preserve">weekly </w:t>
            </w:r>
            <w:r w:rsidR="00FF7F11" w:rsidRPr="00F63520">
              <w:t>reconciliation are available</w:t>
            </w:r>
            <w:r w:rsidR="004A5442">
              <w:t xml:space="preserve">; </w:t>
            </w:r>
            <w:r w:rsidR="00271AB4">
              <w:t>the entir</w:t>
            </w:r>
            <w:r w:rsidR="007C36F3">
              <w:t>e school attends a monthly Mass and twice per year penance service.</w:t>
            </w:r>
          </w:p>
        </w:tc>
      </w:tr>
      <w:tr w:rsidR="00FF7F11" w:rsidTr="00C94D49">
        <w:trPr>
          <w:jc w:val="center"/>
        </w:trPr>
        <w:tc>
          <w:tcPr>
            <w:tcW w:w="2695" w:type="dxa"/>
            <w:vAlign w:val="center"/>
          </w:tcPr>
          <w:p w:rsidR="00FF7F11" w:rsidRPr="00DD0A5F" w:rsidRDefault="00642587" w:rsidP="00FF7F11">
            <w:pPr>
              <w:rPr>
                <w:b/>
                <w:bCs/>
              </w:rPr>
            </w:pPr>
            <w:r>
              <w:rPr>
                <w:b/>
                <w:bCs/>
              </w:rPr>
              <w:t>Adoration</w:t>
            </w:r>
          </w:p>
        </w:tc>
        <w:tc>
          <w:tcPr>
            <w:tcW w:w="8095" w:type="dxa"/>
          </w:tcPr>
          <w:p w:rsidR="00FF7F11" w:rsidRPr="00F63520" w:rsidRDefault="00642587" w:rsidP="00106333">
            <w:pPr>
              <w:ind w:left="-18"/>
            </w:pPr>
            <w:r>
              <w:t xml:space="preserve">Adoration of the Blessed Sacrament is offered </w:t>
            </w:r>
            <w:r w:rsidR="00106333">
              <w:t>the first</w:t>
            </w:r>
            <w:r>
              <w:t xml:space="preserve"> Friday </w:t>
            </w:r>
            <w:r w:rsidR="00106333">
              <w:t xml:space="preserve">each month </w:t>
            </w:r>
            <w:bookmarkStart w:id="0" w:name="_GoBack"/>
            <w:bookmarkEnd w:id="0"/>
            <w:r>
              <w:t>during school beginning with the end of Mass at 7:30am and ending with Benediction at 3pm.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Retreats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 w:rsidRPr="00271AB4">
              <w:t xml:space="preserve">All underclassmen attend a “Day of Reflection” in the Spring and graduating seniors participate in a </w:t>
            </w:r>
            <w:r>
              <w:t>multi-day Retreat at St. Anne’s Convent</w:t>
            </w:r>
            <w:r w:rsidR="002F6CA2">
              <w:t>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March for Life</w:t>
            </w:r>
          </w:p>
        </w:tc>
        <w:tc>
          <w:tcPr>
            <w:tcW w:w="8095" w:type="dxa"/>
          </w:tcPr>
          <w:p w:rsidR="00642587" w:rsidRDefault="00642587" w:rsidP="00642587">
            <w:pPr>
              <w:ind w:left="-18"/>
            </w:pPr>
            <w:r>
              <w:t>Annually, hundreds of students attend the March for Life in Washington, DC.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 w:val="restart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Community Service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 w:rsidRPr="00F63520">
              <w:t xml:space="preserve">100% of the Covington Catholic student body participates </w:t>
            </w:r>
            <w:r>
              <w:t>in community service each year, and can earn a varsity letter for service.  60 hours are required for graduation.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Pr="00E8217F" w:rsidRDefault="00642587" w:rsidP="00642587">
            <w:pPr>
              <w:ind w:left="-18"/>
              <w:rPr>
                <w:highlight w:val="yellow"/>
              </w:rPr>
            </w:pPr>
            <w:r w:rsidRPr="00221E1D">
              <w:t>201</w:t>
            </w:r>
            <w:r>
              <w:t>8 Senior Class completed over 15,0</w:t>
            </w:r>
            <w:r w:rsidRPr="00221E1D">
              <w:t>00 hours of service in their 4 years at CCH.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Other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>
              <w:t>Additional spiritual and civic experiences take place, such as a visit by the Virgin Statue of Our Lady of Fatima and a regional Naturalization ceremony.</w:t>
            </w:r>
          </w:p>
        </w:tc>
      </w:tr>
      <w:tr w:rsidR="00642587" w:rsidRPr="00607E6B" w:rsidTr="00C85DAA">
        <w:trPr>
          <w:jc w:val="center"/>
        </w:trPr>
        <w:tc>
          <w:tcPr>
            <w:tcW w:w="10790" w:type="dxa"/>
            <w:gridSpan w:val="2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Academic Measures &amp; Awards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 w:val="restart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ACT</w:t>
            </w:r>
          </w:p>
        </w:tc>
        <w:tc>
          <w:tcPr>
            <w:tcW w:w="8095" w:type="dxa"/>
          </w:tcPr>
          <w:p w:rsidR="00642587" w:rsidRDefault="00642587" w:rsidP="00642587">
            <w:pPr>
              <w:ind w:left="-18"/>
            </w:pPr>
            <w:r>
              <w:t>S</w:t>
            </w:r>
            <w:r w:rsidRPr="003C7DF9">
              <w:t>cores are consistently above the nat</w:t>
            </w:r>
            <w:r>
              <w:t xml:space="preserve">ional and state overall average.  </w:t>
            </w:r>
            <w:r w:rsidRPr="003C7DF9">
              <w:t>For example: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003"/>
              <w:gridCol w:w="2430"/>
            </w:tblGrid>
            <w:tr w:rsidR="00642587" w:rsidRPr="003C7DF9" w:rsidTr="001A47B9">
              <w:trPr>
                <w:jc w:val="center"/>
              </w:trPr>
              <w:tc>
                <w:tcPr>
                  <w:tcW w:w="2294" w:type="dxa"/>
                  <w:shd w:val="clear" w:color="auto" w:fill="FFFFFF"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CCH 2018</w:t>
                  </w:r>
                </w:p>
              </w:tc>
              <w:tc>
                <w:tcPr>
                  <w:tcW w:w="200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KY All-Male Avg.</w:t>
                  </w:r>
                </w:p>
              </w:tc>
              <w:tc>
                <w:tcPr>
                  <w:tcW w:w="2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Nat’l All-Male Avg.</w:t>
                  </w:r>
                </w:p>
              </w:tc>
            </w:tr>
            <w:tr w:rsidR="00642587" w:rsidRPr="003C7DF9" w:rsidTr="001A47B9">
              <w:trPr>
                <w:jc w:val="center"/>
              </w:trPr>
              <w:tc>
                <w:tcPr>
                  <w:tcW w:w="2294" w:type="dxa"/>
                  <w:shd w:val="clear" w:color="auto" w:fill="FFFFFF"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26.0</w:t>
                  </w:r>
                </w:p>
              </w:tc>
              <w:tc>
                <w:tcPr>
                  <w:tcW w:w="200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20.0</w:t>
                  </w:r>
                </w:p>
              </w:tc>
              <w:tc>
                <w:tcPr>
                  <w:tcW w:w="2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21.0</w:t>
                  </w:r>
                </w:p>
              </w:tc>
            </w:tr>
          </w:tbl>
          <w:p w:rsidR="00642587" w:rsidRPr="001A47B9" w:rsidRDefault="00642587" w:rsidP="00642587">
            <w:pPr>
              <w:pStyle w:val="ListParagraph"/>
              <w:numPr>
                <w:ilvl w:val="0"/>
                <w:numId w:val="13"/>
              </w:numPr>
              <w:ind w:left="169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CCH Average </w:t>
            </w:r>
            <w:r w:rsidRPr="001A47B9">
              <w:rPr>
                <w:sz w:val="16"/>
                <w:szCs w:val="16"/>
              </w:rPr>
              <w:t xml:space="preserve">reflects students' highest ACT Composite </w:t>
            </w:r>
            <w:r>
              <w:rPr>
                <w:sz w:val="16"/>
                <w:szCs w:val="16"/>
              </w:rPr>
              <w:t>Score</w:t>
            </w:r>
            <w:r w:rsidRPr="001A47B9">
              <w:rPr>
                <w:sz w:val="16"/>
                <w:szCs w:val="16"/>
              </w:rPr>
              <w:t xml:space="preserve">. </w:t>
            </w:r>
          </w:p>
          <w:p w:rsidR="00642587" w:rsidRPr="001A47B9" w:rsidRDefault="00642587" w:rsidP="00642587">
            <w:pPr>
              <w:pStyle w:val="ListParagraph"/>
              <w:numPr>
                <w:ilvl w:val="0"/>
                <w:numId w:val="13"/>
              </w:numPr>
              <w:ind w:left="1692" w:hanging="180"/>
              <w:rPr>
                <w:sz w:val="16"/>
                <w:szCs w:val="16"/>
              </w:rPr>
            </w:pPr>
            <w:r w:rsidRPr="001A47B9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entucky</w:t>
            </w:r>
            <w:r w:rsidRPr="001A47B9">
              <w:rPr>
                <w:sz w:val="16"/>
                <w:szCs w:val="16"/>
              </w:rPr>
              <w:t xml:space="preserve"> and Nat</w:t>
            </w:r>
            <w:r>
              <w:rPr>
                <w:sz w:val="16"/>
                <w:szCs w:val="16"/>
              </w:rPr>
              <w:t xml:space="preserve">ional </w:t>
            </w:r>
            <w:r w:rsidRPr="001A47B9">
              <w:rPr>
                <w:sz w:val="16"/>
                <w:szCs w:val="16"/>
              </w:rPr>
              <w:t xml:space="preserve">are average </w:t>
            </w:r>
            <w:r>
              <w:rPr>
                <w:sz w:val="16"/>
                <w:szCs w:val="16"/>
              </w:rPr>
              <w:t>all-male</w:t>
            </w:r>
            <w:r w:rsidRPr="001A47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“last test taken” scores from 2017</w:t>
            </w:r>
            <w:r w:rsidRPr="001A47B9">
              <w:rPr>
                <w:sz w:val="16"/>
                <w:szCs w:val="16"/>
              </w:rPr>
              <w:t>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Default="00642587" w:rsidP="00642587">
            <w:pPr>
              <w:ind w:left="-18"/>
            </w:pPr>
            <w:r w:rsidRPr="00C755A8">
              <w:t xml:space="preserve">Four students </w:t>
            </w:r>
            <w:r>
              <w:t>since 2013</w:t>
            </w:r>
            <w:r w:rsidRPr="00C755A8">
              <w:t xml:space="preserve"> have earned the highest possible composite score of 36 (a "perfect" score) on the ACT.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National Merit</w:t>
            </w:r>
          </w:p>
        </w:tc>
        <w:tc>
          <w:tcPr>
            <w:tcW w:w="8095" w:type="dxa"/>
          </w:tcPr>
          <w:p w:rsidR="00642587" w:rsidRPr="00C755A8" w:rsidRDefault="00642587" w:rsidP="00ED69E3">
            <w:pPr>
              <w:rPr>
                <w:bCs/>
              </w:rPr>
            </w:pPr>
            <w:r>
              <w:rPr>
                <w:bCs/>
              </w:rPr>
              <w:t>Two</w:t>
            </w:r>
            <w:r w:rsidRPr="00C755A8">
              <w:rPr>
                <w:bCs/>
              </w:rPr>
              <w:t xml:space="preserve"> </w:t>
            </w:r>
            <w:r>
              <w:rPr>
                <w:bCs/>
              </w:rPr>
              <w:t xml:space="preserve">students </w:t>
            </w:r>
            <w:r w:rsidR="00ED69E3">
              <w:rPr>
                <w:bCs/>
              </w:rPr>
              <w:t>are</w:t>
            </w:r>
            <w:r>
              <w:rPr>
                <w:bCs/>
              </w:rPr>
              <w:t xml:space="preserve"> </w:t>
            </w:r>
            <w:r w:rsidR="004A5442">
              <w:rPr>
                <w:bCs/>
              </w:rPr>
              <w:t xml:space="preserve">2018-19 </w:t>
            </w:r>
            <w:r>
              <w:rPr>
                <w:bCs/>
              </w:rPr>
              <w:t>National Merit Semi F</w:t>
            </w:r>
            <w:r w:rsidRPr="00C755A8">
              <w:rPr>
                <w:bCs/>
              </w:rPr>
              <w:t>inalists</w:t>
            </w:r>
            <w:r w:rsidR="004A5442">
              <w:rPr>
                <w:bCs/>
              </w:rPr>
              <w:t>; seven students were 2017-18 National Merit Finalists</w:t>
            </w:r>
            <w:r w:rsidR="00ED69E3">
              <w:rPr>
                <w:bCs/>
              </w:rPr>
              <w:t xml:space="preserve">. Both results were the highest in </w:t>
            </w:r>
            <w:r w:rsidR="002F6CA2">
              <w:rPr>
                <w:bCs/>
              </w:rPr>
              <w:t>the Diocese of Covington.</w:t>
            </w:r>
            <w:r w:rsidR="004A5442">
              <w:rPr>
                <w:bCs/>
              </w:rPr>
              <w:t xml:space="preserve"> 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 w:val="restart"/>
            <w:vAlign w:val="center"/>
          </w:tcPr>
          <w:p w:rsidR="00642587" w:rsidRPr="00AE6792" w:rsidRDefault="00642587" w:rsidP="00642587">
            <w:pPr>
              <w:rPr>
                <w:b/>
                <w:bCs/>
              </w:rPr>
            </w:pPr>
            <w:r w:rsidRPr="00AE6792">
              <w:rPr>
                <w:b/>
                <w:bCs/>
              </w:rPr>
              <w:t>AP</w:t>
            </w:r>
          </w:p>
        </w:tc>
        <w:tc>
          <w:tcPr>
            <w:tcW w:w="8095" w:type="dxa"/>
          </w:tcPr>
          <w:p w:rsidR="00642587" w:rsidRPr="00AE6792" w:rsidRDefault="00A30A40" w:rsidP="00A30A40">
            <w:pPr>
              <w:rPr>
                <w:bCs/>
              </w:rPr>
            </w:pPr>
            <w:r w:rsidRPr="00A30A40">
              <w:rPr>
                <w:rFonts w:ascii="Calibri" w:eastAsia="Calibri" w:hAnsi="Calibri" w:cs="Times New Roman"/>
              </w:rPr>
              <w:t xml:space="preserve">In 2018, nine courses had passing rates (Scores of </w:t>
            </w:r>
            <w:r>
              <w:rPr>
                <w:rFonts w:ascii="Calibri" w:eastAsia="Calibri" w:hAnsi="Calibri" w:cs="Times New Roman"/>
              </w:rPr>
              <w:t>≥ 3</w:t>
            </w:r>
            <w:r w:rsidRPr="00A30A40">
              <w:rPr>
                <w:rFonts w:ascii="Calibri" w:eastAsia="Calibri" w:hAnsi="Calibri" w:cs="Times New Roman"/>
              </w:rPr>
              <w:t>) of &gt;80%, with an overall passing rate of 84%. The Kentucky and National passing rates are 53% and 61%, respectively.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/>
            <w:vAlign w:val="center"/>
          </w:tcPr>
          <w:p w:rsidR="00642587" w:rsidRPr="00AE6792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Pr="00AE6792" w:rsidRDefault="00642587" w:rsidP="0055746D">
            <w:pPr>
              <w:ind w:left="-18"/>
            </w:pPr>
            <w:r>
              <w:t>43</w:t>
            </w:r>
            <w:r w:rsidRPr="00AE6792">
              <w:t xml:space="preserve"> Covington Catholic students were named AP Scholars in 201</w:t>
            </w:r>
            <w:r>
              <w:t>7</w:t>
            </w:r>
            <w:r w:rsidRPr="00AE6792">
              <w:t>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221E1D" w:rsidRDefault="00642587" w:rsidP="00642587">
            <w:pPr>
              <w:rPr>
                <w:b/>
                <w:bCs/>
              </w:rPr>
            </w:pPr>
            <w:r w:rsidRPr="00221E1D">
              <w:rPr>
                <w:b/>
                <w:bCs/>
              </w:rPr>
              <w:t>KY Governor’s Programs</w:t>
            </w:r>
          </w:p>
          <w:p w:rsidR="00642587" w:rsidRPr="00221E1D" w:rsidRDefault="00642587" w:rsidP="00642587">
            <w:pPr>
              <w:rPr>
                <w:b/>
                <w:bCs/>
              </w:rPr>
            </w:pPr>
            <w:r w:rsidRPr="00221E1D">
              <w:rPr>
                <w:b/>
                <w:bCs/>
              </w:rPr>
              <w:t>(</w:t>
            </w:r>
            <w:r>
              <w:rPr>
                <w:b/>
                <w:bCs/>
              </w:rPr>
              <w:t>2018</w:t>
            </w:r>
            <w:r w:rsidRPr="00221E1D">
              <w:rPr>
                <w:b/>
                <w:bCs/>
              </w:rPr>
              <w:t>)</w:t>
            </w:r>
          </w:p>
        </w:tc>
        <w:tc>
          <w:tcPr>
            <w:tcW w:w="8095" w:type="dxa"/>
          </w:tcPr>
          <w:p w:rsidR="00642587" w:rsidRPr="00221E1D" w:rsidRDefault="00642587" w:rsidP="00642587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>5</w:t>
            </w:r>
            <w:r w:rsidRPr="00221E1D">
              <w:t xml:space="preserve"> students were accepted/attended the Governor’s Scholars Program (GSP)</w:t>
            </w:r>
          </w:p>
          <w:p w:rsidR="00642587" w:rsidRPr="00221E1D" w:rsidRDefault="00642587" w:rsidP="00642587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>4</w:t>
            </w:r>
            <w:r w:rsidRPr="00221E1D">
              <w:t xml:space="preserve"> student</w:t>
            </w:r>
            <w:r>
              <w:t>s</w:t>
            </w:r>
            <w:r w:rsidRPr="00221E1D">
              <w:t xml:space="preserve"> were accepted/attended the Governor’s School for the Arts (GSA)</w:t>
            </w:r>
          </w:p>
          <w:p w:rsidR="00642587" w:rsidRPr="00221E1D" w:rsidRDefault="00642587" w:rsidP="00642587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>1</w:t>
            </w:r>
            <w:r w:rsidRPr="00221E1D">
              <w:t xml:space="preserve"> student</w:t>
            </w:r>
            <w:r>
              <w:t xml:space="preserve"> was</w:t>
            </w:r>
            <w:r w:rsidRPr="00221E1D">
              <w:t xml:space="preserve"> accepted</w:t>
            </w:r>
            <w:r>
              <w:t xml:space="preserve"> into</w:t>
            </w:r>
            <w:r w:rsidRPr="00221E1D">
              <w:t xml:space="preserve"> the Governor’s School for Entrepreneurs (GSE)</w:t>
            </w:r>
          </w:p>
        </w:tc>
      </w:tr>
      <w:tr w:rsidR="00642587" w:rsidRPr="009F71E5" w:rsidTr="00C85DAA">
        <w:trPr>
          <w:jc w:val="center"/>
        </w:trPr>
        <w:tc>
          <w:tcPr>
            <w:tcW w:w="10790" w:type="dxa"/>
            <w:gridSpan w:val="2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Curriculum &amp; Academic Support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Curriculum Levels</w:t>
            </w:r>
          </w:p>
        </w:tc>
        <w:tc>
          <w:tcPr>
            <w:tcW w:w="8095" w:type="dxa"/>
          </w:tcPr>
          <w:p w:rsidR="00642587" w:rsidRPr="002C068F" w:rsidRDefault="00642587" w:rsidP="00642587">
            <w:pPr>
              <w:ind w:left="-18"/>
              <w:rPr>
                <w:bCs/>
              </w:rPr>
            </w:pPr>
            <w:r>
              <w:rPr>
                <w:bCs/>
              </w:rPr>
              <w:t>T</w:t>
            </w:r>
            <w:r w:rsidRPr="00DA31AE">
              <w:rPr>
                <w:bCs/>
              </w:rPr>
              <w:t xml:space="preserve">hree </w:t>
            </w:r>
            <w:r>
              <w:rPr>
                <w:bCs/>
              </w:rPr>
              <w:t xml:space="preserve">curriculum </w:t>
            </w:r>
            <w:r w:rsidRPr="00DA31AE">
              <w:rPr>
                <w:bCs/>
              </w:rPr>
              <w:t>levels: Honors/AP, College Prep I and College Prep II/III.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Academic Support</w:t>
            </w:r>
          </w:p>
        </w:tc>
        <w:tc>
          <w:tcPr>
            <w:tcW w:w="8095" w:type="dxa"/>
          </w:tcPr>
          <w:p w:rsidR="00642587" w:rsidRPr="002C068F" w:rsidRDefault="00642587" w:rsidP="00642587">
            <w:pPr>
              <w:rPr>
                <w:bCs/>
              </w:rPr>
            </w:pPr>
            <w:r>
              <w:rPr>
                <w:bCs/>
              </w:rPr>
              <w:t xml:space="preserve">CCH has an </w:t>
            </w:r>
            <w:r w:rsidRPr="00DA31AE">
              <w:rPr>
                <w:bCs/>
              </w:rPr>
              <w:t>Academic Support Program for students that need additional educational assi</w:t>
            </w:r>
            <w:r>
              <w:rPr>
                <w:bCs/>
              </w:rPr>
              <w:t>stance.</w:t>
            </w:r>
            <w:r w:rsidRPr="00D2671D">
              <w:rPr>
                <w:bCs/>
              </w:rPr>
              <w:t xml:space="preserve"> </w:t>
            </w:r>
            <w:r w:rsidR="00017F69">
              <w:rPr>
                <w:bCs/>
              </w:rPr>
              <w:t>42</w:t>
            </w:r>
            <w:r w:rsidRPr="00D2671D">
              <w:rPr>
                <w:bCs/>
              </w:rPr>
              <w:t xml:space="preserve"> st</w:t>
            </w:r>
            <w:r>
              <w:rPr>
                <w:bCs/>
              </w:rPr>
              <w:t xml:space="preserve">udents in grades 9-12 are </w:t>
            </w:r>
            <w:r w:rsidRPr="00D2671D">
              <w:rPr>
                <w:bCs/>
              </w:rPr>
              <w:t>enrolled in the program for 201</w:t>
            </w:r>
            <w:r w:rsidR="00017F69">
              <w:rPr>
                <w:bCs/>
              </w:rPr>
              <w:t>8-19</w:t>
            </w:r>
            <w:r w:rsidRPr="00D2671D">
              <w:rPr>
                <w:bCs/>
              </w:rPr>
              <w:t>.</w:t>
            </w:r>
          </w:p>
        </w:tc>
      </w:tr>
      <w:tr w:rsidR="00642587" w:rsidRPr="00D2671D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STEM</w:t>
            </w:r>
          </w:p>
        </w:tc>
        <w:tc>
          <w:tcPr>
            <w:tcW w:w="8095" w:type="dxa"/>
          </w:tcPr>
          <w:p w:rsidR="00642587" w:rsidRPr="0055746D" w:rsidRDefault="00642587" w:rsidP="00AD0B17">
            <w:pPr>
              <w:rPr>
                <w:bCs/>
                <w:sz w:val="20"/>
              </w:rPr>
            </w:pPr>
            <w:r w:rsidRPr="0055746D">
              <w:rPr>
                <w:bCs/>
                <w:sz w:val="20"/>
              </w:rPr>
              <w:t xml:space="preserve">CCH </w:t>
            </w:r>
            <w:r w:rsidR="00661E7F" w:rsidRPr="0055746D">
              <w:rPr>
                <w:bCs/>
                <w:sz w:val="20"/>
              </w:rPr>
              <w:t xml:space="preserve">is the only Catholic High School in Kentucky to offer the Engineering curriculum of Project Lead the Way (PLTW; an </w:t>
            </w:r>
            <w:r w:rsidR="00864C84" w:rsidRPr="0055746D">
              <w:rPr>
                <w:bCs/>
                <w:sz w:val="20"/>
              </w:rPr>
              <w:t>organization that</w:t>
            </w:r>
            <w:r w:rsidR="00661E7F" w:rsidRPr="0055746D">
              <w:rPr>
                <w:bCs/>
                <w:sz w:val="20"/>
              </w:rPr>
              <w:t xml:space="preserve"> delivers world-class STEM curriculum and professional development models to more than 11,500 schools </w:t>
            </w:r>
            <w:r w:rsidR="00864C84" w:rsidRPr="0055746D">
              <w:rPr>
                <w:bCs/>
                <w:sz w:val="20"/>
              </w:rPr>
              <w:t>across</w:t>
            </w:r>
            <w:r w:rsidR="00661E7F" w:rsidRPr="0055746D">
              <w:rPr>
                <w:bCs/>
                <w:sz w:val="20"/>
              </w:rPr>
              <w:t xml:space="preserve"> all 50 states)</w:t>
            </w:r>
            <w:r w:rsidRPr="0055746D">
              <w:rPr>
                <w:bCs/>
                <w:sz w:val="20"/>
              </w:rPr>
              <w:t xml:space="preserve">.  </w:t>
            </w:r>
            <w:r w:rsidR="00661E7F" w:rsidRPr="0055746D">
              <w:rPr>
                <w:bCs/>
                <w:sz w:val="20"/>
              </w:rPr>
              <w:t>With 4</w:t>
            </w:r>
            <w:r w:rsidR="00AD0B17" w:rsidRPr="0055746D">
              <w:rPr>
                <w:bCs/>
                <w:sz w:val="20"/>
              </w:rPr>
              <w:t xml:space="preserve"> PLTW-</w:t>
            </w:r>
            <w:r w:rsidR="00661E7F" w:rsidRPr="0055746D">
              <w:rPr>
                <w:bCs/>
                <w:sz w:val="20"/>
              </w:rPr>
              <w:t xml:space="preserve">certified teachers, </w:t>
            </w:r>
            <w:proofErr w:type="spellStart"/>
            <w:r w:rsidR="00661E7F" w:rsidRPr="0055746D">
              <w:rPr>
                <w:bCs/>
                <w:sz w:val="20"/>
              </w:rPr>
              <w:t>CovCath</w:t>
            </w:r>
            <w:proofErr w:type="spellEnd"/>
            <w:r w:rsidR="00661E7F" w:rsidRPr="0055746D">
              <w:rPr>
                <w:bCs/>
                <w:sz w:val="20"/>
              </w:rPr>
              <w:t xml:space="preserve"> was 1 of only 133 high schools nationwide (1 of 3 in Kentucky) to be named a </w:t>
            </w:r>
            <w:r w:rsidR="00E96270" w:rsidRPr="0055746D">
              <w:rPr>
                <w:bCs/>
                <w:sz w:val="20"/>
              </w:rPr>
              <w:t xml:space="preserve">2017-18 </w:t>
            </w:r>
            <w:r w:rsidR="00661E7F" w:rsidRPr="0055746D">
              <w:rPr>
                <w:bCs/>
                <w:sz w:val="20"/>
              </w:rPr>
              <w:t xml:space="preserve">PLTW Distinguished School. </w:t>
            </w:r>
            <w:r w:rsidRPr="0055746D">
              <w:rPr>
                <w:bCs/>
                <w:sz w:val="20"/>
              </w:rPr>
              <w:t xml:space="preserve">295 </w:t>
            </w:r>
            <w:r w:rsidR="00AD0B17" w:rsidRPr="0055746D">
              <w:rPr>
                <w:bCs/>
                <w:sz w:val="20"/>
              </w:rPr>
              <w:t xml:space="preserve">CCH </w:t>
            </w:r>
            <w:r w:rsidRPr="0055746D">
              <w:rPr>
                <w:bCs/>
                <w:sz w:val="20"/>
              </w:rPr>
              <w:t xml:space="preserve">students were enrolled in Engineering, </w:t>
            </w:r>
            <w:r w:rsidR="00661E7F" w:rsidRPr="0055746D">
              <w:rPr>
                <w:bCs/>
                <w:sz w:val="20"/>
              </w:rPr>
              <w:t xml:space="preserve">Computer Science, or Graphic Design </w:t>
            </w:r>
            <w:r w:rsidR="00AD0B17" w:rsidRPr="0055746D">
              <w:rPr>
                <w:bCs/>
                <w:sz w:val="20"/>
              </w:rPr>
              <w:t>in 2017-18</w:t>
            </w:r>
            <w:r w:rsidR="00661E7F" w:rsidRPr="0055746D">
              <w:rPr>
                <w:bCs/>
                <w:sz w:val="20"/>
              </w:rPr>
              <w:t>.</w:t>
            </w:r>
          </w:p>
        </w:tc>
      </w:tr>
      <w:tr w:rsidR="00642587" w:rsidRPr="00607E6B" w:rsidTr="00607E6B">
        <w:tblPrEx>
          <w:jc w:val="left"/>
        </w:tblPrEx>
        <w:tc>
          <w:tcPr>
            <w:tcW w:w="10790" w:type="dxa"/>
            <w:gridSpan w:val="2"/>
          </w:tcPr>
          <w:p w:rsidR="00642587" w:rsidRPr="00607E6B" w:rsidRDefault="00FE3EC0" w:rsidP="00642587">
            <w:pPr>
              <w:rPr>
                <w:b/>
                <w:bCs/>
                <w:color w:val="0000FF"/>
                <w:sz w:val="28"/>
              </w:rPr>
            </w:pPr>
            <w:r>
              <w:lastRenderedPageBreak/>
              <w:br w:type="page"/>
            </w:r>
            <w:r w:rsidR="00642587" w:rsidRPr="00607E6B">
              <w:rPr>
                <w:b/>
                <w:bCs/>
                <w:color w:val="0000FF"/>
                <w:sz w:val="28"/>
              </w:rPr>
              <w:t>Extra-Curricular &amp; Social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Clubs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 w:rsidRPr="00F63520">
              <w:t>40+ clubs and organizations are available to students at Covington Catholic</w:t>
            </w:r>
            <w:r>
              <w:t>, including Robotics, Magnified Giving, Environmental Club, Stock Market Club, the Culture Club, Outdoor Pursuits, Corps of Cadets and the award-winning Chamber Choir</w:t>
            </w:r>
            <w:r w:rsidRPr="00F63520">
              <w:t>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Merge w:val="restart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Sports</w:t>
            </w:r>
          </w:p>
        </w:tc>
        <w:tc>
          <w:tcPr>
            <w:tcW w:w="8095" w:type="dxa"/>
          </w:tcPr>
          <w:p w:rsidR="00642587" w:rsidRPr="001857D3" w:rsidRDefault="00642587" w:rsidP="00642587">
            <w:pPr>
              <w:ind w:left="-18"/>
            </w:pPr>
            <w:r w:rsidRPr="001857D3">
              <w:t>Student-athletes participate in 1</w:t>
            </w:r>
            <w:r>
              <w:t>3</w:t>
            </w:r>
            <w:r w:rsidRPr="001857D3">
              <w:t xml:space="preserve"> KHSAA sanctioned sports &amp; 6 club/intramural sports.  </w:t>
            </w:r>
          </w:p>
          <w:p w:rsidR="00642587" w:rsidRPr="001857D3" w:rsidRDefault="00642587" w:rsidP="00642587">
            <w:pPr>
              <w:ind w:left="-18"/>
            </w:pPr>
            <w:r w:rsidRPr="007812BB">
              <w:t>Approximately 66% of students participate on one or more sanctioned sports teams.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Merge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Pr="001857D3" w:rsidRDefault="00642587" w:rsidP="00642587">
            <w:pPr>
              <w:ind w:left="-18"/>
            </w:pPr>
            <w:r w:rsidRPr="001857D3">
              <w:t>Covington Cath</w:t>
            </w:r>
            <w:r>
              <w:t>olic’s athletic teams have won 21</w:t>
            </w:r>
            <w:r w:rsidRPr="001857D3">
              <w:t xml:space="preserve"> team state championships (</w:t>
            </w:r>
            <w:r w:rsidRPr="007812BB">
              <w:t>5 differe</w:t>
            </w:r>
            <w:r>
              <w:t>nt sports in the last 16</w:t>
            </w:r>
            <w:r w:rsidRPr="007812BB">
              <w:t xml:space="preserve"> years)</w:t>
            </w:r>
            <w:r w:rsidRPr="001857D3">
              <w:t xml:space="preserve"> and multiple individual state championships in addition to </w:t>
            </w:r>
            <w:r w:rsidRPr="007812BB">
              <w:t xml:space="preserve">over </w:t>
            </w:r>
            <w:r>
              <w:t>175</w:t>
            </w:r>
            <w:r w:rsidRPr="007812BB">
              <w:t xml:space="preserve"> regional team titles.</w:t>
            </w:r>
          </w:p>
        </w:tc>
      </w:tr>
      <w:tr w:rsidR="00F56246" w:rsidTr="00E77C5C">
        <w:tblPrEx>
          <w:jc w:val="left"/>
        </w:tblPrEx>
        <w:tc>
          <w:tcPr>
            <w:tcW w:w="2695" w:type="dxa"/>
            <w:vAlign w:val="center"/>
          </w:tcPr>
          <w:p w:rsidR="00F56246" w:rsidRPr="005906A1" w:rsidRDefault="00F56246" w:rsidP="00642587">
            <w:pPr>
              <w:rPr>
                <w:b/>
                <w:bCs/>
              </w:rPr>
            </w:pPr>
            <w:r>
              <w:rPr>
                <w:b/>
                <w:bCs/>
              </w:rPr>
              <w:t>House System</w:t>
            </w:r>
          </w:p>
        </w:tc>
        <w:tc>
          <w:tcPr>
            <w:tcW w:w="8095" w:type="dxa"/>
          </w:tcPr>
          <w:p w:rsidR="00F56246" w:rsidRPr="001857D3" w:rsidRDefault="00F56246" w:rsidP="005B3476">
            <w:pPr>
              <w:ind w:left="-18"/>
            </w:pPr>
            <w:r>
              <w:t xml:space="preserve">New for 2018-19, </w:t>
            </w:r>
            <w:r w:rsidR="005B3476">
              <w:t xml:space="preserve">every student is part of a multi-grade “Column” organization, which becomes his “home base” for activities, mentorship, and leadership. </w:t>
            </w:r>
            <w:r>
              <w:t xml:space="preserve"> 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Drug-Free Club</w:t>
            </w:r>
          </w:p>
        </w:tc>
        <w:tc>
          <w:tcPr>
            <w:tcW w:w="8095" w:type="dxa"/>
          </w:tcPr>
          <w:p w:rsidR="00642587" w:rsidRPr="00AD1528" w:rsidRDefault="00642587" w:rsidP="00642587">
            <w:pPr>
              <w:ind w:left="-18"/>
            </w:pPr>
            <w:r w:rsidRPr="00AD1528">
              <w:t>100% of the student body is enrolled in the Drug Free Clubs of America as part of the mandatory substance abuse prevention program.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Colonel Crazies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>
              <w:t>The Colonel Crazies, the impressive, enthusiastic and coordinated student cheering section at CCH events, won the Most Spirited Student Section (2014 KHSAA Sweet 16) and has twice been named a finalist as the country’s most spirited school tradition.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Student Traditions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>
              <w:t xml:space="preserve">Students have numerous fun traditions, including teaching the freshmen the cheers and fight song, “Hawaiian shirt Wednesdays,” </w:t>
            </w:r>
            <w:proofErr w:type="spellStart"/>
            <w:r>
              <w:t>SuperHike</w:t>
            </w:r>
            <w:proofErr w:type="spellEnd"/>
            <w:r>
              <w:t>, Senior Bike Day, and wearing Christmas sweaters during Spirit Week.</w:t>
            </w:r>
          </w:p>
        </w:tc>
      </w:tr>
      <w:tr w:rsidR="00642587" w:rsidRPr="00607E6B" w:rsidTr="00C55B56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Graduates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Post HS Pursuits</w:t>
            </w:r>
          </w:p>
        </w:tc>
        <w:tc>
          <w:tcPr>
            <w:tcW w:w="8095" w:type="dxa"/>
          </w:tcPr>
          <w:p w:rsidR="00642587" w:rsidRPr="00D2671D" w:rsidRDefault="003833F0" w:rsidP="003833F0">
            <w:pPr>
              <w:rPr>
                <w:bCs/>
              </w:rPr>
            </w:pPr>
            <w:r>
              <w:rPr>
                <w:bCs/>
              </w:rPr>
              <w:t>&gt;95%</w:t>
            </w:r>
            <w:r w:rsidR="00642587" w:rsidRPr="00D2671D">
              <w:rPr>
                <w:bCs/>
              </w:rPr>
              <w:t xml:space="preserve"> of graduates matriculate to a college, university, or military. </w:t>
            </w:r>
            <w:r>
              <w:rPr>
                <w:bCs/>
              </w:rPr>
              <w:t>2018 graduates are at schools including Notre Dame, Case Western, Carnegie Mellon, U.S. Air Force Academy and U.S. Coast Guard Academy, and many noteworthy regional schools.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Scholarships</w:t>
            </w:r>
          </w:p>
        </w:tc>
        <w:tc>
          <w:tcPr>
            <w:tcW w:w="8095" w:type="dxa"/>
          </w:tcPr>
          <w:p w:rsidR="00642587" w:rsidRPr="002C068F" w:rsidRDefault="00642587" w:rsidP="00E77CD2">
            <w:pPr>
              <w:rPr>
                <w:bCs/>
              </w:rPr>
            </w:pPr>
            <w:r w:rsidRPr="00E1064D">
              <w:rPr>
                <w:bCs/>
              </w:rPr>
              <w:t>95% of the Class of 201</w:t>
            </w:r>
            <w:r w:rsidR="003833F0">
              <w:rPr>
                <w:bCs/>
              </w:rPr>
              <w:t>8</w:t>
            </w:r>
            <w:r w:rsidRPr="00E1064D">
              <w:rPr>
                <w:bCs/>
              </w:rPr>
              <w:t xml:space="preserve"> received some form of academic and/or a</w:t>
            </w:r>
            <w:r w:rsidR="00E77CD2">
              <w:rPr>
                <w:bCs/>
              </w:rPr>
              <w:t xml:space="preserve">thletic scholarship with a total </w:t>
            </w:r>
            <w:r w:rsidRPr="00E1064D">
              <w:rPr>
                <w:bCs/>
              </w:rPr>
              <w:t xml:space="preserve">value of </w:t>
            </w:r>
            <w:r w:rsidR="003833F0">
              <w:rPr>
                <w:bCs/>
              </w:rPr>
              <w:t xml:space="preserve">almost </w:t>
            </w:r>
            <w:r w:rsidRPr="00E1064D">
              <w:rPr>
                <w:bCs/>
              </w:rPr>
              <w:t>$</w:t>
            </w:r>
            <w:r w:rsidR="003833F0">
              <w:rPr>
                <w:bCs/>
              </w:rPr>
              <w:t>22</w:t>
            </w:r>
            <w:r w:rsidRPr="00E1064D">
              <w:rPr>
                <w:bCs/>
              </w:rPr>
              <w:t xml:space="preserve"> million (a school record).</w:t>
            </w:r>
          </w:p>
        </w:tc>
      </w:tr>
      <w:tr w:rsidR="00642587" w:rsidRPr="00607E6B" w:rsidTr="00C85DAA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Staff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Student : Teacher Ratio</w:t>
            </w:r>
          </w:p>
        </w:tc>
        <w:tc>
          <w:tcPr>
            <w:tcW w:w="8095" w:type="dxa"/>
          </w:tcPr>
          <w:p w:rsidR="00642587" w:rsidRPr="00217761" w:rsidRDefault="00642587" w:rsidP="00642587">
            <w:pPr>
              <w:rPr>
                <w:bCs/>
              </w:rPr>
            </w:pPr>
            <w:r>
              <w:rPr>
                <w:bCs/>
              </w:rPr>
              <w:t>15 to 1</w:t>
            </w:r>
            <w:r w:rsidR="00843EF0">
              <w:rPr>
                <w:bCs/>
              </w:rPr>
              <w:t xml:space="preserve"> (40 FTE teachers)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# CCH Alums</w:t>
            </w:r>
          </w:p>
        </w:tc>
        <w:tc>
          <w:tcPr>
            <w:tcW w:w="8095" w:type="dxa"/>
          </w:tcPr>
          <w:p w:rsidR="00642587" w:rsidRPr="00217761" w:rsidRDefault="00642587" w:rsidP="00642587">
            <w:pPr>
              <w:rPr>
                <w:bCs/>
              </w:rPr>
            </w:pPr>
            <w:r w:rsidRPr="00221E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221E1D">
              <w:rPr>
                <w:bCs/>
              </w:rPr>
              <w:t xml:space="preserve"> Teachers &amp; Staff</w:t>
            </w:r>
          </w:p>
        </w:tc>
      </w:tr>
      <w:tr w:rsidR="00642587" w:rsidRPr="00607E6B" w:rsidTr="00CE497F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Facilities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Overall Campus</w:t>
            </w:r>
          </w:p>
        </w:tc>
        <w:tc>
          <w:tcPr>
            <w:tcW w:w="8095" w:type="dxa"/>
          </w:tcPr>
          <w:p w:rsidR="00642587" w:rsidRPr="00602B09" w:rsidRDefault="00642587" w:rsidP="003833F0">
            <w:pPr>
              <w:rPr>
                <w:bCs/>
              </w:rPr>
            </w:pPr>
            <w:r w:rsidRPr="00602B09">
              <w:rPr>
                <w:bCs/>
              </w:rPr>
              <w:t>30-acre campus in Park Hills</w:t>
            </w:r>
            <w:r>
              <w:rPr>
                <w:bCs/>
              </w:rPr>
              <w:t xml:space="preserve"> (2 miles from Brent Spence Bridge) </w:t>
            </w:r>
            <w:r w:rsidRPr="00602B09">
              <w:rPr>
                <w:bCs/>
              </w:rPr>
              <w:t xml:space="preserve">includes the academic center, the gymnasium, the </w:t>
            </w:r>
            <w:proofErr w:type="spellStart"/>
            <w:r w:rsidRPr="00602B09">
              <w:rPr>
                <w:bCs/>
              </w:rPr>
              <w:t>Knochelman</w:t>
            </w:r>
            <w:proofErr w:type="spellEnd"/>
            <w:r w:rsidRPr="00602B09">
              <w:rPr>
                <w:bCs/>
              </w:rPr>
              <w:t xml:space="preserve"> Building, the Schott Sports Center, </w:t>
            </w:r>
            <w:r>
              <w:rPr>
                <w:bCs/>
              </w:rPr>
              <w:t>the Yung Family Tennis Complex,</w:t>
            </w:r>
            <w:r w:rsidRPr="00602B09">
              <w:rPr>
                <w:bCs/>
              </w:rPr>
              <w:t xml:space="preserve"> Tom Berger Field, and</w:t>
            </w:r>
            <w:r>
              <w:rPr>
                <w:bCs/>
              </w:rPr>
              <w:t xml:space="preserve"> Wooten Field at Dennis Griffin Stadium.</w:t>
            </w:r>
            <w:r w:rsidRPr="00602B09">
              <w:rPr>
                <w:bCs/>
              </w:rPr>
              <w:t xml:space="preserve"> </w:t>
            </w:r>
            <w:r w:rsidRPr="00AE6792">
              <w:rPr>
                <w:bCs/>
              </w:rPr>
              <w:t>A $</w:t>
            </w:r>
            <w:r w:rsidR="003833F0">
              <w:rPr>
                <w:bCs/>
              </w:rPr>
              <w:t>9</w:t>
            </w:r>
            <w:r w:rsidRPr="00AE6792">
              <w:rPr>
                <w:bCs/>
              </w:rPr>
              <w:t>MM expansion/renovation began in December of 2016 which included a major foot</w:t>
            </w:r>
            <w:r>
              <w:rPr>
                <w:bCs/>
              </w:rPr>
              <w:t xml:space="preserve">ball stadium renovation, </w:t>
            </w:r>
            <w:r w:rsidRPr="00AE6792">
              <w:rPr>
                <w:bCs/>
              </w:rPr>
              <w:t>construction of the Yung Family Tennis Complex.</w:t>
            </w:r>
            <w:r>
              <w:rPr>
                <w:bCs/>
              </w:rPr>
              <w:t>, and work underway now on a new academic building (to be completed by Winter 2018</w:t>
            </w:r>
            <w:r w:rsidR="003833F0">
              <w:rPr>
                <w:bCs/>
              </w:rPr>
              <w:t>-19</w:t>
            </w:r>
            <w:r>
              <w:rPr>
                <w:bCs/>
              </w:rPr>
              <w:t>).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Technology</w:t>
            </w:r>
          </w:p>
        </w:tc>
        <w:tc>
          <w:tcPr>
            <w:tcW w:w="8095" w:type="dxa"/>
          </w:tcPr>
          <w:p w:rsidR="00642587" w:rsidRPr="001857D3" w:rsidRDefault="00642587" w:rsidP="00642587">
            <w:pPr>
              <w:rPr>
                <w:bCs/>
                <w:sz w:val="18"/>
              </w:rPr>
            </w:pPr>
            <w:proofErr w:type="spellStart"/>
            <w:r w:rsidRPr="001857D3">
              <w:rPr>
                <w:bCs/>
                <w:sz w:val="18"/>
              </w:rPr>
              <w:t>CovCath</w:t>
            </w:r>
            <w:proofErr w:type="spellEnd"/>
            <w:r w:rsidRPr="001857D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has</w:t>
            </w:r>
            <w:r w:rsidRPr="001857D3">
              <w:rPr>
                <w:bCs/>
                <w:sz w:val="18"/>
              </w:rPr>
              <w:t xml:space="preserve"> transition</w:t>
            </w:r>
            <w:r>
              <w:rPr>
                <w:bCs/>
                <w:sz w:val="18"/>
              </w:rPr>
              <w:t xml:space="preserve">ed to a 1:1 computing platform, and all students in grades 9-12 now have a common device (mandatory).  Teachers have been trained to utilize the devices within their curriculum and teaching strategy.   </w:t>
            </w:r>
            <w:r w:rsidRPr="001857D3">
              <w:rPr>
                <w:bCs/>
                <w:sz w:val="18"/>
              </w:rPr>
              <w:t xml:space="preserve">We have three </w:t>
            </w:r>
            <w:r>
              <w:rPr>
                <w:bCs/>
                <w:sz w:val="18"/>
              </w:rPr>
              <w:t xml:space="preserve">computer </w:t>
            </w:r>
            <w:r w:rsidRPr="001857D3">
              <w:rPr>
                <w:bCs/>
                <w:sz w:val="18"/>
              </w:rPr>
              <w:t xml:space="preserve">labs:  the CAD </w:t>
            </w:r>
            <w:r>
              <w:rPr>
                <w:bCs/>
                <w:sz w:val="18"/>
              </w:rPr>
              <w:t>Lab</w:t>
            </w:r>
            <w:r w:rsidRPr="001857D3">
              <w:rPr>
                <w:bCs/>
                <w:sz w:val="18"/>
              </w:rPr>
              <w:t xml:space="preserve">; the STEM Lab; and the Journalism Lab.  In addition, </w:t>
            </w:r>
            <w:r>
              <w:rPr>
                <w:bCs/>
                <w:sz w:val="18"/>
              </w:rPr>
              <w:t>we have three 3D</w:t>
            </w:r>
            <w:r w:rsidRPr="001857D3">
              <w:rPr>
                <w:bCs/>
                <w:sz w:val="18"/>
              </w:rPr>
              <w:t xml:space="preserve"> printer</w:t>
            </w:r>
            <w:r>
              <w:rPr>
                <w:bCs/>
                <w:sz w:val="18"/>
              </w:rPr>
              <w:t>s</w:t>
            </w:r>
            <w:r w:rsidRPr="001857D3">
              <w:rPr>
                <w:bCs/>
                <w:sz w:val="18"/>
              </w:rPr>
              <w:t xml:space="preserve">, </w:t>
            </w:r>
            <w:r>
              <w:rPr>
                <w:bCs/>
                <w:sz w:val="18"/>
              </w:rPr>
              <w:t xml:space="preserve">a </w:t>
            </w:r>
            <w:proofErr w:type="spellStart"/>
            <w:r>
              <w:rPr>
                <w:bCs/>
                <w:sz w:val="18"/>
              </w:rPr>
              <w:t>Phaser</w:t>
            </w:r>
            <w:proofErr w:type="spellEnd"/>
            <w:r>
              <w:rPr>
                <w:bCs/>
                <w:sz w:val="18"/>
              </w:rPr>
              <w:t xml:space="preserve"> for graphic design; and Sharp Touchscreen Display, wireless TVs, and wireless projectors in classrooms.</w:t>
            </w:r>
          </w:p>
        </w:tc>
      </w:tr>
      <w:tr w:rsidR="00642587" w:rsidRPr="00607E6B" w:rsidTr="002E2D92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Tuition &amp; Assistance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D2671D" w:rsidRDefault="00642587" w:rsidP="003833F0">
            <w:pPr>
              <w:rPr>
                <w:b/>
                <w:bCs/>
              </w:rPr>
            </w:pPr>
            <w:r w:rsidRPr="00D2671D">
              <w:rPr>
                <w:b/>
                <w:bCs/>
              </w:rPr>
              <w:t>$ In/Out of District (</w:t>
            </w:r>
            <w:r w:rsidR="003833F0">
              <w:rPr>
                <w:b/>
                <w:bCs/>
              </w:rPr>
              <w:t>2018/19</w:t>
            </w:r>
            <w:r w:rsidRPr="00D2671D">
              <w:rPr>
                <w:b/>
                <w:bCs/>
              </w:rPr>
              <w:t>)</w:t>
            </w:r>
          </w:p>
        </w:tc>
        <w:tc>
          <w:tcPr>
            <w:tcW w:w="8095" w:type="dxa"/>
          </w:tcPr>
          <w:p w:rsidR="00642587" w:rsidRPr="00D2671D" w:rsidRDefault="00642587" w:rsidP="00642587">
            <w:pPr>
              <w:rPr>
                <w:bCs/>
              </w:rPr>
            </w:pPr>
            <w:r w:rsidRPr="00D2671D">
              <w:rPr>
                <w:bCs/>
              </w:rPr>
              <w:t>In-Diocese Tuition / Tuition + Fees = $7,</w:t>
            </w:r>
            <w:r>
              <w:rPr>
                <w:bCs/>
              </w:rPr>
              <w:t>950 / $9,150</w:t>
            </w:r>
          </w:p>
          <w:p w:rsidR="00642587" w:rsidRPr="00D2671D" w:rsidRDefault="00642587" w:rsidP="00642587">
            <w:pPr>
              <w:rPr>
                <w:bCs/>
              </w:rPr>
            </w:pPr>
            <w:r w:rsidRPr="00D2671D">
              <w:rPr>
                <w:bCs/>
              </w:rPr>
              <w:t>Out-of-Diocese Tuition / Tuition + Fees = $</w:t>
            </w:r>
            <w:r>
              <w:rPr>
                <w:bCs/>
              </w:rPr>
              <w:t>8,75</w:t>
            </w:r>
            <w:r w:rsidRPr="00D2671D">
              <w:rPr>
                <w:bCs/>
              </w:rPr>
              <w:t>0 / $9,</w:t>
            </w:r>
            <w:r>
              <w:rPr>
                <w:bCs/>
              </w:rPr>
              <w:t>95</w:t>
            </w:r>
            <w:r w:rsidRPr="00D2671D">
              <w:rPr>
                <w:bCs/>
              </w:rPr>
              <w:t>0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Relative Tuition</w:t>
            </w:r>
          </w:p>
        </w:tc>
        <w:tc>
          <w:tcPr>
            <w:tcW w:w="8095" w:type="dxa"/>
          </w:tcPr>
          <w:p w:rsidR="00642587" w:rsidRPr="00221E1D" w:rsidRDefault="00642587" w:rsidP="00642587">
            <w:pPr>
              <w:rPr>
                <w:bCs/>
              </w:rPr>
            </w:pPr>
            <w:r w:rsidRPr="00221E1D">
              <w:rPr>
                <w:bCs/>
              </w:rPr>
              <w:t>Tuition is approximately 25-40% less than large all-male Catholic schools in Cincinnati.</w:t>
            </w:r>
          </w:p>
        </w:tc>
      </w:tr>
      <w:tr w:rsidR="00642587" w:rsidTr="00254A31">
        <w:trPr>
          <w:trHeight w:val="70"/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Tuition Assistance</w:t>
            </w:r>
          </w:p>
        </w:tc>
        <w:tc>
          <w:tcPr>
            <w:tcW w:w="8095" w:type="dxa"/>
          </w:tcPr>
          <w:p w:rsidR="00642587" w:rsidRPr="00221E1D" w:rsidRDefault="004A5442" w:rsidP="00642587">
            <w:r>
              <w:t>Almost 1 in 5</w:t>
            </w:r>
            <w:r w:rsidR="00642587" w:rsidRPr="00221E1D">
              <w:t xml:space="preserve"> students rec</w:t>
            </w:r>
            <w:r w:rsidR="003833F0">
              <w:t>eives assistance, up to $480K</w:t>
            </w:r>
            <w:r w:rsidR="00642587" w:rsidRPr="00221E1D">
              <w:t xml:space="preserve"> awarded in total.</w:t>
            </w:r>
          </w:p>
        </w:tc>
      </w:tr>
    </w:tbl>
    <w:p w:rsidR="00334806" w:rsidRDefault="00334806" w:rsidP="0055746D">
      <w:pPr>
        <w:rPr>
          <w:b/>
          <w:bCs/>
        </w:rPr>
      </w:pPr>
    </w:p>
    <w:sectPr w:rsidR="00334806" w:rsidSect="00FE3EC0">
      <w:footerReference w:type="default" r:id="rId7"/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D6" w:rsidRDefault="007619D6" w:rsidP="007619D6">
      <w:pPr>
        <w:spacing w:after="0" w:line="240" w:lineRule="auto"/>
      </w:pPr>
      <w:r>
        <w:separator/>
      </w:r>
    </w:p>
  </w:endnote>
  <w:endnote w:type="continuationSeparator" w:id="0">
    <w:p w:rsidR="007619D6" w:rsidRDefault="007619D6" w:rsidP="0076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6" w:rsidRPr="007619D6" w:rsidRDefault="001A47B9" w:rsidP="007619D6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2F6CA2">
      <w:rPr>
        <w:sz w:val="18"/>
      </w:rPr>
      <w:t>9</w:t>
    </w:r>
    <w:r w:rsidR="00E20E48">
      <w:rPr>
        <w:sz w:val="18"/>
      </w:rPr>
      <w:t>/</w:t>
    </w:r>
    <w:r w:rsidR="0055746D">
      <w:rPr>
        <w:sz w:val="18"/>
      </w:rPr>
      <w:t>13</w:t>
    </w:r>
    <w:r w:rsidR="00DD4817">
      <w:rPr>
        <w:sz w:val="18"/>
      </w:rPr>
      <w:t>/</w:t>
    </w:r>
    <w:r w:rsidR="00174DC1">
      <w:rPr>
        <w:sz w:val="18"/>
      </w:rPr>
      <w:t>2018</w:t>
    </w:r>
  </w:p>
  <w:p w:rsidR="007619D6" w:rsidRDefault="00761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D6" w:rsidRDefault="007619D6" w:rsidP="007619D6">
      <w:pPr>
        <w:spacing w:after="0" w:line="240" w:lineRule="auto"/>
      </w:pPr>
      <w:r>
        <w:separator/>
      </w:r>
    </w:p>
  </w:footnote>
  <w:footnote w:type="continuationSeparator" w:id="0">
    <w:p w:rsidR="007619D6" w:rsidRDefault="007619D6" w:rsidP="0076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26"/>
    <w:multiLevelType w:val="multilevel"/>
    <w:tmpl w:val="410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B20E0"/>
    <w:multiLevelType w:val="hybridMultilevel"/>
    <w:tmpl w:val="56F46848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307"/>
    <w:multiLevelType w:val="hybridMultilevel"/>
    <w:tmpl w:val="8C341166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D87"/>
    <w:multiLevelType w:val="hybridMultilevel"/>
    <w:tmpl w:val="FA8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620"/>
    <w:multiLevelType w:val="hybridMultilevel"/>
    <w:tmpl w:val="E4A2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38B0"/>
    <w:multiLevelType w:val="hybridMultilevel"/>
    <w:tmpl w:val="FA2E5B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BAF20F8"/>
    <w:multiLevelType w:val="hybridMultilevel"/>
    <w:tmpl w:val="1890CF00"/>
    <w:lvl w:ilvl="0" w:tplc="E214AE8A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16EC0"/>
    <w:multiLevelType w:val="hybridMultilevel"/>
    <w:tmpl w:val="07EAF79E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1BAD"/>
    <w:multiLevelType w:val="hybridMultilevel"/>
    <w:tmpl w:val="D2A8224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5FE655D9"/>
    <w:multiLevelType w:val="multilevel"/>
    <w:tmpl w:val="7EA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73BB5"/>
    <w:multiLevelType w:val="hybridMultilevel"/>
    <w:tmpl w:val="83A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7EB1"/>
    <w:multiLevelType w:val="hybridMultilevel"/>
    <w:tmpl w:val="5FE42448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4D77"/>
    <w:multiLevelType w:val="hybridMultilevel"/>
    <w:tmpl w:val="1D0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9"/>
    <w:rsid w:val="00017F69"/>
    <w:rsid w:val="00024A89"/>
    <w:rsid w:val="000923AF"/>
    <w:rsid w:val="000C48FF"/>
    <w:rsid w:val="000D1824"/>
    <w:rsid w:val="000D4A97"/>
    <w:rsid w:val="00106333"/>
    <w:rsid w:val="00145E8B"/>
    <w:rsid w:val="00146DEB"/>
    <w:rsid w:val="00174DC1"/>
    <w:rsid w:val="00184A28"/>
    <w:rsid w:val="001857D3"/>
    <w:rsid w:val="001A1B00"/>
    <w:rsid w:val="001A47B9"/>
    <w:rsid w:val="001A727B"/>
    <w:rsid w:val="00217761"/>
    <w:rsid w:val="00221E1D"/>
    <w:rsid w:val="00254A31"/>
    <w:rsid w:val="00271AB4"/>
    <w:rsid w:val="00290E48"/>
    <w:rsid w:val="00293755"/>
    <w:rsid w:val="0029379C"/>
    <w:rsid w:val="0029460E"/>
    <w:rsid w:val="002A527A"/>
    <w:rsid w:val="002C068F"/>
    <w:rsid w:val="002E16F1"/>
    <w:rsid w:val="002E7AC5"/>
    <w:rsid w:val="002F64B1"/>
    <w:rsid w:val="002F6CA2"/>
    <w:rsid w:val="00312D66"/>
    <w:rsid w:val="00321268"/>
    <w:rsid w:val="00334806"/>
    <w:rsid w:val="0036482D"/>
    <w:rsid w:val="00371EC3"/>
    <w:rsid w:val="003833F0"/>
    <w:rsid w:val="00393D1B"/>
    <w:rsid w:val="003B1066"/>
    <w:rsid w:val="003B543F"/>
    <w:rsid w:val="003C7DF9"/>
    <w:rsid w:val="003D1B9C"/>
    <w:rsid w:val="003E547A"/>
    <w:rsid w:val="004A5442"/>
    <w:rsid w:val="004B6D3D"/>
    <w:rsid w:val="00540F34"/>
    <w:rsid w:val="005412BD"/>
    <w:rsid w:val="0055746D"/>
    <w:rsid w:val="0057704D"/>
    <w:rsid w:val="005906A1"/>
    <w:rsid w:val="00590A88"/>
    <w:rsid w:val="005B3476"/>
    <w:rsid w:val="005D218B"/>
    <w:rsid w:val="00601EF4"/>
    <w:rsid w:val="00602B09"/>
    <w:rsid w:val="00607E6B"/>
    <w:rsid w:val="00642587"/>
    <w:rsid w:val="0064524D"/>
    <w:rsid w:val="00661E7F"/>
    <w:rsid w:val="00666ABF"/>
    <w:rsid w:val="006739EE"/>
    <w:rsid w:val="00680D68"/>
    <w:rsid w:val="00683402"/>
    <w:rsid w:val="006868C1"/>
    <w:rsid w:val="006B0FAD"/>
    <w:rsid w:val="006B7B14"/>
    <w:rsid w:val="00712D71"/>
    <w:rsid w:val="00714F4F"/>
    <w:rsid w:val="007167AA"/>
    <w:rsid w:val="007334C7"/>
    <w:rsid w:val="00733C10"/>
    <w:rsid w:val="007619D6"/>
    <w:rsid w:val="007812BB"/>
    <w:rsid w:val="00791655"/>
    <w:rsid w:val="007A25F5"/>
    <w:rsid w:val="007B17FA"/>
    <w:rsid w:val="007C36F3"/>
    <w:rsid w:val="007C4354"/>
    <w:rsid w:val="007D4592"/>
    <w:rsid w:val="007E25B0"/>
    <w:rsid w:val="007E572E"/>
    <w:rsid w:val="007F24CC"/>
    <w:rsid w:val="00843EF0"/>
    <w:rsid w:val="00846596"/>
    <w:rsid w:val="00861D18"/>
    <w:rsid w:val="00864C84"/>
    <w:rsid w:val="0089579F"/>
    <w:rsid w:val="008A5271"/>
    <w:rsid w:val="008E3F7F"/>
    <w:rsid w:val="00915D86"/>
    <w:rsid w:val="00916DC3"/>
    <w:rsid w:val="00955F92"/>
    <w:rsid w:val="009A40F5"/>
    <w:rsid w:val="009A61F5"/>
    <w:rsid w:val="009A6699"/>
    <w:rsid w:val="009B63E0"/>
    <w:rsid w:val="009F71E5"/>
    <w:rsid w:val="00A25607"/>
    <w:rsid w:val="00A30A40"/>
    <w:rsid w:val="00A437A6"/>
    <w:rsid w:val="00AD0B17"/>
    <w:rsid w:val="00AD1528"/>
    <w:rsid w:val="00AD5B15"/>
    <w:rsid w:val="00AE6792"/>
    <w:rsid w:val="00BD60DD"/>
    <w:rsid w:val="00BE6BA6"/>
    <w:rsid w:val="00BF48EC"/>
    <w:rsid w:val="00C00C0F"/>
    <w:rsid w:val="00C062F6"/>
    <w:rsid w:val="00C1281D"/>
    <w:rsid w:val="00C423BB"/>
    <w:rsid w:val="00C55873"/>
    <w:rsid w:val="00C656C5"/>
    <w:rsid w:val="00C73E49"/>
    <w:rsid w:val="00C755A8"/>
    <w:rsid w:val="00C94D49"/>
    <w:rsid w:val="00C97FAD"/>
    <w:rsid w:val="00CA4E23"/>
    <w:rsid w:val="00CE3787"/>
    <w:rsid w:val="00D022FE"/>
    <w:rsid w:val="00D02BD7"/>
    <w:rsid w:val="00D2671D"/>
    <w:rsid w:val="00D82086"/>
    <w:rsid w:val="00D95347"/>
    <w:rsid w:val="00DA31AE"/>
    <w:rsid w:val="00DA57D0"/>
    <w:rsid w:val="00DC5BCA"/>
    <w:rsid w:val="00DD0A5F"/>
    <w:rsid w:val="00DD4817"/>
    <w:rsid w:val="00DE28C1"/>
    <w:rsid w:val="00E00E56"/>
    <w:rsid w:val="00E10501"/>
    <w:rsid w:val="00E1064D"/>
    <w:rsid w:val="00E20E48"/>
    <w:rsid w:val="00E41520"/>
    <w:rsid w:val="00E77C5C"/>
    <w:rsid w:val="00E77CD2"/>
    <w:rsid w:val="00E8217F"/>
    <w:rsid w:val="00E96270"/>
    <w:rsid w:val="00ED69E3"/>
    <w:rsid w:val="00F30085"/>
    <w:rsid w:val="00F50708"/>
    <w:rsid w:val="00F56246"/>
    <w:rsid w:val="00F63549"/>
    <w:rsid w:val="00F81460"/>
    <w:rsid w:val="00F92948"/>
    <w:rsid w:val="00F92EAC"/>
    <w:rsid w:val="00FC376C"/>
    <w:rsid w:val="00FC6AE2"/>
    <w:rsid w:val="00FE3EC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9F89"/>
  <w15:chartTrackingRefBased/>
  <w15:docId w15:val="{353F7C50-6B8C-4BBB-A98A-5F8FE2D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D6"/>
  </w:style>
  <w:style w:type="paragraph" w:styleId="Footer">
    <w:name w:val="footer"/>
    <w:basedOn w:val="Normal"/>
    <w:link w:val="FooterChar"/>
    <w:uiPriority w:val="99"/>
    <w:unhideWhenUsed/>
    <w:rsid w:val="007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7</cp:revision>
  <cp:lastPrinted>2016-10-11T16:14:00Z</cp:lastPrinted>
  <dcterms:created xsi:type="dcterms:W3CDTF">2018-09-13T16:50:00Z</dcterms:created>
  <dcterms:modified xsi:type="dcterms:W3CDTF">2018-09-20T20:02:00Z</dcterms:modified>
</cp:coreProperties>
</file>